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0A" w:rsidRPr="006B459D" w:rsidRDefault="009B400A" w:rsidP="009B400A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B459D">
        <w:rPr>
          <w:rFonts w:ascii="Times New Roman" w:hAnsi="Times New Roman" w:cs="Times New Roman"/>
          <w:b/>
          <w:bCs/>
          <w:sz w:val="30"/>
          <w:szCs w:val="30"/>
        </w:rPr>
        <w:t xml:space="preserve">Sub-Theme: </w:t>
      </w:r>
      <w:r w:rsidR="00A64D20">
        <w:rPr>
          <w:rFonts w:ascii="Times New Roman" w:hAnsi="Times New Roman" w:cs="Times New Roman"/>
          <w:b/>
          <w:bCs/>
          <w:sz w:val="30"/>
          <w:szCs w:val="30"/>
        </w:rPr>
        <w:t xml:space="preserve">7. </w:t>
      </w:r>
      <w:r w:rsidR="00A64D20" w:rsidRPr="00A64D20">
        <w:rPr>
          <w:rFonts w:ascii="Times New Roman" w:hAnsi="Times New Roman" w:cs="Times New Roman"/>
          <w:b/>
          <w:bCs/>
          <w:sz w:val="30"/>
          <w:szCs w:val="30"/>
        </w:rPr>
        <w:t>Water for People and Planet</w:t>
      </w:r>
    </w:p>
    <w:p w:rsidR="009B400A" w:rsidRPr="006B459D" w:rsidRDefault="002903C1" w:rsidP="009B400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Topic:</w:t>
      </w:r>
      <w:r w:rsidR="009B400A" w:rsidRPr="006B45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4D20">
        <w:rPr>
          <w:rFonts w:ascii="Times New Roman" w:hAnsi="Times New Roman" w:cs="Times New Roman"/>
          <w:b/>
          <w:bCs/>
          <w:sz w:val="26"/>
          <w:szCs w:val="26"/>
        </w:rPr>
        <w:t>TF18-</w:t>
      </w:r>
      <w:r w:rsidR="009B400A">
        <w:rPr>
          <w:rFonts w:ascii="Times New Roman" w:hAnsi="Times New Roman" w:cs="Times New Roman"/>
          <w:b/>
          <w:bCs/>
          <w:sz w:val="26"/>
          <w:szCs w:val="26"/>
        </w:rPr>
        <w:t>Aquifer Mapping and Management.</w:t>
      </w:r>
    </w:p>
    <w:p w:rsidR="009B400A" w:rsidRPr="006B459D" w:rsidRDefault="009B400A" w:rsidP="009B40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A9642E" w:rsidRPr="00B05AA4" w:rsidRDefault="00A9642E" w:rsidP="009B400A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B400A" w:rsidRPr="002903C1" w:rsidRDefault="009B400A" w:rsidP="009B40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3C1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:rsidR="00EB78C0" w:rsidRPr="009B400A" w:rsidRDefault="00A9642E" w:rsidP="009B400A">
      <w:pPr>
        <w:pStyle w:val="NormalWeb"/>
        <w:spacing w:before="0" w:beforeAutospacing="0" w:after="0" w:afterAutospacing="0" w:line="360" w:lineRule="auto"/>
        <w:jc w:val="both"/>
      </w:pPr>
      <w:r>
        <w:t xml:space="preserve">In </w:t>
      </w:r>
      <w:r w:rsidR="009B400A" w:rsidRPr="009B400A">
        <w:t>I</w:t>
      </w:r>
      <w:r w:rsidR="00EB78C0" w:rsidRPr="009B400A">
        <w:t>ndia</w:t>
      </w:r>
      <w:r>
        <w:t xml:space="preserve">, </w:t>
      </w:r>
      <w:r w:rsidR="00EB78C0" w:rsidRPr="009B400A">
        <w:t xml:space="preserve">groundwater </w:t>
      </w:r>
      <w:r>
        <w:t xml:space="preserve">continues to be </w:t>
      </w:r>
      <w:r w:rsidR="00EB78C0" w:rsidRPr="009B400A">
        <w:t xml:space="preserve">the principal source for drinking water, irrigation, industry, and urban growth. Rising dependence, coupled with over-extraction, water quality degradation, and climate variability, </w:t>
      </w:r>
      <w:r>
        <w:t xml:space="preserve">requires </w:t>
      </w:r>
      <w:r w:rsidR="00EB78C0" w:rsidRPr="009B400A">
        <w:t xml:space="preserve">need to shift from fragmented, administrative-unit based management towards a </w:t>
      </w:r>
      <w:r w:rsidR="00EB78C0" w:rsidRPr="00A9642E">
        <w:rPr>
          <w:rStyle w:val="Strong"/>
          <w:b w:val="0"/>
          <w:bCs w:val="0"/>
        </w:rPr>
        <w:t>scientific, aquifer-based governance framework</w:t>
      </w:r>
      <w:r w:rsidR="00EB78C0" w:rsidRPr="00A9642E">
        <w:rPr>
          <w:b/>
          <w:bCs/>
        </w:rPr>
        <w:t>.</w:t>
      </w:r>
      <w:r>
        <w:rPr>
          <w:b/>
          <w:bCs/>
        </w:rPr>
        <w:t xml:space="preserve"> </w:t>
      </w:r>
      <w:r w:rsidR="00EB78C0" w:rsidRPr="009B400A">
        <w:t xml:space="preserve">In this context, the </w:t>
      </w:r>
      <w:r w:rsidR="00EB78C0" w:rsidRPr="000E66B7">
        <w:rPr>
          <w:rStyle w:val="Strong"/>
          <w:b w:val="0"/>
          <w:bCs w:val="0"/>
        </w:rPr>
        <w:t xml:space="preserve">National Aquifer Mapping and Management </w:t>
      </w:r>
      <w:proofErr w:type="spellStart"/>
      <w:r w:rsidR="00EB78C0" w:rsidRPr="000E66B7">
        <w:rPr>
          <w:rStyle w:val="Strong"/>
          <w:b w:val="0"/>
          <w:bCs w:val="0"/>
        </w:rPr>
        <w:t>Programme</w:t>
      </w:r>
      <w:proofErr w:type="spellEnd"/>
      <w:r w:rsidR="00EB78C0" w:rsidRPr="000E66B7">
        <w:rPr>
          <w:rStyle w:val="Strong"/>
          <w:b w:val="0"/>
          <w:bCs w:val="0"/>
        </w:rPr>
        <w:t xml:space="preserve"> (NAQUIM)</w:t>
      </w:r>
      <w:r w:rsidR="00EB78C0" w:rsidRPr="009B400A">
        <w:t xml:space="preserve"> serves as the national framework for evidence-based groundwater management, anchoring core functions such as data generation, monitoring, assessment, regulation, artificial recharge, capacity building, and advisory support. </w:t>
      </w:r>
      <w:r w:rsidR="003B23E0">
        <w:t xml:space="preserve">Further, it </w:t>
      </w:r>
      <w:r w:rsidR="00EB78C0" w:rsidRPr="009B400A">
        <w:t xml:space="preserve">enables coordinated planning, strengthened regulation, and convergence with national </w:t>
      </w:r>
      <w:proofErr w:type="spellStart"/>
      <w:r w:rsidR="00EB78C0" w:rsidRPr="009B400A">
        <w:t>programmes</w:t>
      </w:r>
      <w:proofErr w:type="spellEnd"/>
      <w:r w:rsidR="00EB78C0" w:rsidRPr="009B400A">
        <w:t xml:space="preserve"> on </w:t>
      </w:r>
      <w:r w:rsidR="003B23E0">
        <w:t>water resources.</w:t>
      </w:r>
    </w:p>
    <w:p w:rsidR="00A9642E" w:rsidRPr="00B05AA4" w:rsidRDefault="00A9642E" w:rsidP="009B400A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EB78C0" w:rsidRPr="002903C1" w:rsidRDefault="00A9642E" w:rsidP="009B400A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03C1">
        <w:rPr>
          <w:rFonts w:ascii="Times New Roman" w:hAnsi="Times New Roman" w:cs="Times New Roman"/>
          <w:color w:val="auto"/>
          <w:sz w:val="24"/>
          <w:szCs w:val="24"/>
        </w:rPr>
        <w:t>Ob</w:t>
      </w:r>
      <w:r w:rsidR="00ED5BAA" w:rsidRPr="002903C1">
        <w:rPr>
          <w:rFonts w:ascii="Times New Roman" w:hAnsi="Times New Roman" w:cs="Times New Roman"/>
          <w:color w:val="auto"/>
          <w:sz w:val="24"/>
          <w:szCs w:val="24"/>
        </w:rPr>
        <w:t>jective</w:t>
      </w:r>
      <w:r w:rsidRPr="002903C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Strengthen aquifer science and methodologies</w:t>
      </w:r>
      <w:r w:rsidR="00E405A8">
        <w:t>, and their application for planning, governance, regulation and management of groundwater</w:t>
      </w:r>
      <w:r w:rsidRPr="009B400A">
        <w:t>.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Promote digital innovation and data integration for improved groundwater governance.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Enhance convergence</w:t>
      </w:r>
      <w:r w:rsidR="00335FA1">
        <w:t xml:space="preserve"> and institutional coordination</w:t>
      </w:r>
      <w:r w:rsidRPr="009B400A">
        <w:t>.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Strengthen climate-resilient and sustainable practices by exa</w:t>
      </w:r>
      <w:r w:rsidR="00DD416C">
        <w:t>mining aquifer-based approaches.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Promote participatory groundwater gove</w:t>
      </w:r>
      <w:r w:rsidR="00DD416C">
        <w:t>rnance by sharing best practices.</w:t>
      </w:r>
    </w:p>
    <w:p w:rsidR="00EB78C0" w:rsidRPr="009B400A" w:rsidRDefault="00EB78C0" w:rsidP="000E66B7">
      <w:pPr>
        <w:pStyle w:val="Normal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9B400A">
        <w:t>Develop a forward-looking roadmap by identifying priority research areas, policy reforms, and implementation strategies to strengthen the next phase of NAQUIM.</w:t>
      </w:r>
    </w:p>
    <w:p w:rsidR="00A9642E" w:rsidRPr="00B05AA4" w:rsidRDefault="00A9642E" w:rsidP="009B400A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8"/>
          <w:szCs w:val="8"/>
        </w:rPr>
      </w:pPr>
    </w:p>
    <w:p w:rsidR="00EB78C0" w:rsidRPr="002903C1" w:rsidRDefault="00ED5BAA" w:rsidP="009B400A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2903C1">
        <w:rPr>
          <w:rFonts w:ascii="Times New Roman" w:hAnsi="Times New Roman" w:cs="Times New Roman"/>
          <w:color w:val="auto"/>
          <w:sz w:val="24"/>
          <w:szCs w:val="24"/>
        </w:rPr>
        <w:t>Expected Outcome:</w:t>
      </w:r>
    </w:p>
    <w:bookmarkEnd w:id="0"/>
    <w:p w:rsidR="00EB78C0" w:rsidRPr="009B400A" w:rsidRDefault="00EB78C0" w:rsidP="009B40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9B400A">
        <w:t>Curated case studies and replicable models demonstrating effective partnerships and cross-sectoral approaches for wider adoption.</w:t>
      </w:r>
    </w:p>
    <w:p w:rsidR="00EB78C0" w:rsidRPr="009B400A" w:rsidRDefault="00EB78C0" w:rsidP="009B40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9B400A">
        <w:t>Practical, actionable recommendations to strengthen NAQUIM, aquifer-based planning, and groundwater regulation frameworks.</w:t>
      </w:r>
    </w:p>
    <w:p w:rsidR="00EB78C0" w:rsidRPr="009B400A" w:rsidRDefault="00EB78C0" w:rsidP="009B40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9B400A">
        <w:t>A clear roadmap outlining future priorities across science, technology, institutional strengthening, and implementation strategies.</w:t>
      </w:r>
    </w:p>
    <w:p w:rsidR="00EB78C0" w:rsidRPr="009B400A" w:rsidRDefault="00EB78C0" w:rsidP="009B40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9B400A">
        <w:t>Actionable insights on institutional reforms, capacity building needs, and strengthened monitoring and evaluation frameworks.</w:t>
      </w:r>
    </w:p>
    <w:p w:rsidR="00EB78C0" w:rsidRDefault="00EB78C0" w:rsidP="009B40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9B400A">
        <w:t>Identification of priority themes, pilot initiatives, and innovative practices for scaling up water security and climate resilience interventions.</w:t>
      </w:r>
    </w:p>
    <w:p w:rsidR="00FE1485" w:rsidRPr="009B400A" w:rsidRDefault="003B23E0" w:rsidP="00E405A8">
      <w:pPr>
        <w:pStyle w:val="NormalWeb"/>
        <w:spacing w:before="0" w:beforeAutospacing="0" w:after="0" w:afterAutospacing="0" w:line="360" w:lineRule="auto"/>
        <w:ind w:left="720"/>
        <w:jc w:val="center"/>
      </w:pPr>
      <w:r>
        <w:t>**</w:t>
      </w:r>
    </w:p>
    <w:sectPr w:rsidR="00FE1485" w:rsidRPr="009B400A" w:rsidSect="00ED5BAA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2F"/>
    <w:multiLevelType w:val="multilevel"/>
    <w:tmpl w:val="9674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81748"/>
    <w:multiLevelType w:val="multilevel"/>
    <w:tmpl w:val="C82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86500"/>
    <w:multiLevelType w:val="multilevel"/>
    <w:tmpl w:val="01F2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953D1"/>
    <w:multiLevelType w:val="multilevel"/>
    <w:tmpl w:val="6C1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5606D"/>
    <w:multiLevelType w:val="multilevel"/>
    <w:tmpl w:val="E888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C53FB"/>
    <w:multiLevelType w:val="multilevel"/>
    <w:tmpl w:val="26AA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E1C6B"/>
    <w:multiLevelType w:val="multilevel"/>
    <w:tmpl w:val="E9C4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A7AB1"/>
    <w:multiLevelType w:val="multilevel"/>
    <w:tmpl w:val="557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E7B35"/>
    <w:multiLevelType w:val="multilevel"/>
    <w:tmpl w:val="EC8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826A0"/>
    <w:rsid w:val="000E66B7"/>
    <w:rsid w:val="002903C1"/>
    <w:rsid w:val="00335FA1"/>
    <w:rsid w:val="003826A0"/>
    <w:rsid w:val="003B23E0"/>
    <w:rsid w:val="008F5284"/>
    <w:rsid w:val="009B400A"/>
    <w:rsid w:val="00A64D20"/>
    <w:rsid w:val="00A9642E"/>
    <w:rsid w:val="00B05AA4"/>
    <w:rsid w:val="00BC461F"/>
    <w:rsid w:val="00DD416C"/>
    <w:rsid w:val="00E405A8"/>
    <w:rsid w:val="00EB78C0"/>
    <w:rsid w:val="00ED5BAA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9BEC"/>
  <w15:docId w15:val="{D471AD59-FF05-4482-BA40-6AD67419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82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6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8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6A0"/>
    <w:rPr>
      <w:b/>
      <w:bCs/>
    </w:rPr>
  </w:style>
  <w:style w:type="character" w:customStyle="1" w:styleId="relative">
    <w:name w:val="relative"/>
    <w:basedOn w:val="DefaultParagraphFont"/>
    <w:rsid w:val="003826A0"/>
  </w:style>
  <w:style w:type="paragraph" w:customStyle="1" w:styleId="not-prose">
    <w:name w:val="not-prose"/>
    <w:basedOn w:val="Normal"/>
    <w:rsid w:val="0038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26A0"/>
    <w:pPr>
      <w:spacing w:after="0" w:line="240" w:lineRule="auto"/>
      <w:jc w:val="both"/>
    </w:pPr>
    <w:rPr>
      <w:rFonts w:ascii="Arial" w:eastAsiaTheme="minorHAnsi" w:hAnsi="Arial"/>
      <w:sz w:val="24"/>
      <w:szCs w:val="20"/>
      <w:lang w:val="en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14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1485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E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14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148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2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Danish</cp:lastModifiedBy>
  <cp:revision>14</cp:revision>
  <dcterms:created xsi:type="dcterms:W3CDTF">2026-01-20T09:28:00Z</dcterms:created>
  <dcterms:modified xsi:type="dcterms:W3CDTF">2026-03-18T07:22:00Z</dcterms:modified>
</cp:coreProperties>
</file>